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40" w:rsidRDefault="002B256C">
      <w:pPr>
        <w:jc w:val="both"/>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   </w:t>
      </w:r>
    </w:p>
    <w:p w:rsidR="00363E40" w:rsidRDefault="002B256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Bogotá, D.C., junio de 2024</w:t>
      </w:r>
    </w:p>
    <w:p w:rsidR="00363E40" w:rsidRDefault="00363E40">
      <w:pPr>
        <w:jc w:val="both"/>
        <w:rPr>
          <w:rFonts w:ascii="Times New Roman" w:eastAsia="Times New Roman" w:hAnsi="Times New Roman" w:cs="Times New Roman"/>
          <w:sz w:val="28"/>
          <w:szCs w:val="28"/>
        </w:rPr>
      </w:pPr>
    </w:p>
    <w:p w:rsidR="00363E40" w:rsidRDefault="002B256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Doctores:</w:t>
      </w:r>
    </w:p>
    <w:p w:rsidR="00363E40" w:rsidRDefault="002B256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ANDRÉS DAVID CALLE AGUAS</w:t>
      </w:r>
    </w:p>
    <w:p w:rsidR="00363E40" w:rsidRDefault="002B256C">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Presidente de la Honorable Cámara de Representantes</w:t>
      </w:r>
    </w:p>
    <w:p w:rsidR="00363E40" w:rsidRDefault="002B256C">
      <w:pPr>
        <w:spacing w:after="1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IVÁN LEÓNIDAS NAME VÁSQUEZ</w:t>
      </w:r>
      <w:r>
        <w:rPr>
          <w:rFonts w:ascii="Times New Roman" w:eastAsia="Times New Roman" w:hAnsi="Times New Roman" w:cs="Times New Roman"/>
          <w:b/>
          <w:sz w:val="28"/>
          <w:szCs w:val="28"/>
        </w:rPr>
        <w:br/>
      </w:r>
      <w:r>
        <w:rPr>
          <w:rFonts w:ascii="Times New Roman" w:eastAsia="Times New Roman" w:hAnsi="Times New Roman" w:cs="Times New Roman"/>
          <w:sz w:val="28"/>
          <w:szCs w:val="28"/>
        </w:rPr>
        <w:t>Presidente del Honorable Senado de la República</w:t>
      </w:r>
    </w:p>
    <w:p w:rsidR="00363E40" w:rsidRDefault="00363E40">
      <w:pPr>
        <w:jc w:val="both"/>
        <w:rPr>
          <w:rFonts w:ascii="Times New Roman" w:eastAsia="Times New Roman" w:hAnsi="Times New Roman" w:cs="Times New Roman"/>
          <w:b/>
          <w:sz w:val="28"/>
          <w:szCs w:val="28"/>
        </w:rPr>
      </w:pPr>
    </w:p>
    <w:p w:rsidR="00363E40" w:rsidRDefault="00363E40">
      <w:pPr>
        <w:jc w:val="both"/>
        <w:rPr>
          <w:rFonts w:ascii="Times New Roman" w:eastAsia="Times New Roman" w:hAnsi="Times New Roman" w:cs="Times New Roman"/>
          <w:b/>
          <w:sz w:val="28"/>
          <w:szCs w:val="28"/>
        </w:rPr>
      </w:pPr>
    </w:p>
    <w:p w:rsidR="00363E40" w:rsidRDefault="002B256C">
      <w:pPr>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Asunto:</w:t>
      </w:r>
      <w:r>
        <w:rPr>
          <w:rFonts w:ascii="Times New Roman" w:eastAsia="Times New Roman" w:hAnsi="Times New Roman" w:cs="Times New Roman"/>
          <w:sz w:val="28"/>
          <w:szCs w:val="28"/>
        </w:rPr>
        <w:t xml:space="preserve"> Informe de conciliación del Proyecto de Ley Nº 018 de 2022, Cámara-313 de 2023, </w:t>
      </w:r>
      <w:proofErr w:type="spellStart"/>
      <w:proofErr w:type="gramStart"/>
      <w:r>
        <w:rPr>
          <w:rFonts w:ascii="Times New Roman" w:eastAsia="Times New Roman" w:hAnsi="Times New Roman" w:cs="Times New Roman"/>
          <w:sz w:val="28"/>
          <w:szCs w:val="28"/>
        </w:rPr>
        <w:t>Senado</w:t>
      </w:r>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Por</w:t>
      </w:r>
      <w:proofErr w:type="spellEnd"/>
      <w:r>
        <w:rPr>
          <w:rFonts w:ascii="Times New Roman" w:eastAsia="Times New Roman" w:hAnsi="Times New Roman" w:cs="Times New Roman"/>
          <w:i/>
          <w:sz w:val="28"/>
          <w:szCs w:val="28"/>
        </w:rPr>
        <w:t xml:space="preserve"> medio de la cual se armoniza la normatividad vigente en materia tributaria respecto a las familias con hijos dependientes o en condición de discapacidad”.</w:t>
      </w:r>
    </w:p>
    <w:p w:rsidR="00363E40" w:rsidRDefault="00363E40">
      <w:pPr>
        <w:jc w:val="both"/>
        <w:rPr>
          <w:rFonts w:ascii="Times New Roman" w:eastAsia="Times New Roman" w:hAnsi="Times New Roman" w:cs="Times New Roman"/>
          <w:i/>
          <w:sz w:val="28"/>
          <w:szCs w:val="28"/>
        </w:rPr>
      </w:pPr>
    </w:p>
    <w:p w:rsidR="00363E40" w:rsidRDefault="00363E40">
      <w:pPr>
        <w:jc w:val="both"/>
        <w:rPr>
          <w:rFonts w:ascii="Times New Roman" w:eastAsia="Times New Roman" w:hAnsi="Times New Roman" w:cs="Times New Roman"/>
          <w:b/>
          <w:sz w:val="28"/>
          <w:szCs w:val="28"/>
        </w:rPr>
      </w:pPr>
    </w:p>
    <w:p w:rsidR="00363E40" w:rsidRDefault="00363E40">
      <w:pPr>
        <w:jc w:val="both"/>
        <w:rPr>
          <w:rFonts w:ascii="Times New Roman" w:eastAsia="Times New Roman" w:hAnsi="Times New Roman" w:cs="Times New Roman"/>
          <w:b/>
          <w:sz w:val="28"/>
          <w:szCs w:val="28"/>
        </w:rPr>
      </w:pPr>
    </w:p>
    <w:p w:rsidR="00363E40" w:rsidRDefault="002B256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Respet</w:t>
      </w:r>
      <w:r>
        <w:rPr>
          <w:rFonts w:ascii="Times New Roman" w:eastAsia="Times New Roman" w:hAnsi="Times New Roman" w:cs="Times New Roman"/>
          <w:sz w:val="28"/>
          <w:szCs w:val="28"/>
        </w:rPr>
        <w:t>ados Presidentes:</w:t>
      </w:r>
    </w:p>
    <w:p w:rsidR="00363E40" w:rsidRDefault="00363E40">
      <w:pPr>
        <w:jc w:val="both"/>
        <w:rPr>
          <w:rFonts w:ascii="Times New Roman" w:eastAsia="Times New Roman" w:hAnsi="Times New Roman" w:cs="Times New Roman"/>
          <w:sz w:val="28"/>
          <w:szCs w:val="28"/>
        </w:rPr>
      </w:pPr>
    </w:p>
    <w:p w:rsidR="00363E40" w:rsidRDefault="002B256C">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En cumplimiento de la designación realizada por las Presidencias de la Cámara de Representantes y del Senado de la República conforme a la comunicación S.G.2-1088/2024 del 13 de junio de 2024  procedemos a  rendir informe de conciliación</w:t>
      </w:r>
      <w:r>
        <w:rPr>
          <w:rFonts w:ascii="Times New Roman" w:eastAsia="Times New Roman" w:hAnsi="Times New Roman" w:cs="Times New Roman"/>
          <w:sz w:val="28"/>
          <w:szCs w:val="28"/>
        </w:rPr>
        <w:t xml:space="preserve"> y someter a las plenarias de la Cámara y el Senado la conciliación del Proyecto de Ley  Nº 018 de 2022, Cámara-313 de 2023, </w:t>
      </w:r>
      <w:proofErr w:type="spellStart"/>
      <w:r>
        <w:rPr>
          <w:rFonts w:ascii="Times New Roman" w:eastAsia="Times New Roman" w:hAnsi="Times New Roman" w:cs="Times New Roman"/>
          <w:sz w:val="28"/>
          <w:szCs w:val="28"/>
        </w:rPr>
        <w:t>Senado</w:t>
      </w:r>
      <w:r>
        <w:rPr>
          <w:rFonts w:ascii="Times New Roman" w:eastAsia="Times New Roman" w:hAnsi="Times New Roman" w:cs="Times New Roman"/>
          <w:i/>
          <w:sz w:val="28"/>
          <w:szCs w:val="28"/>
        </w:rPr>
        <w:t>“Por</w:t>
      </w:r>
      <w:proofErr w:type="spellEnd"/>
      <w:r>
        <w:rPr>
          <w:rFonts w:ascii="Times New Roman" w:eastAsia="Times New Roman" w:hAnsi="Times New Roman" w:cs="Times New Roman"/>
          <w:i/>
          <w:sz w:val="28"/>
          <w:szCs w:val="28"/>
        </w:rPr>
        <w:t xml:space="preserve"> medio de la cual se armoniza la normatividad vigente en materia tributaria respecto a las familias con hijos dependiente</w:t>
      </w:r>
      <w:r>
        <w:rPr>
          <w:rFonts w:ascii="Times New Roman" w:eastAsia="Times New Roman" w:hAnsi="Times New Roman" w:cs="Times New Roman"/>
          <w:i/>
          <w:sz w:val="28"/>
          <w:szCs w:val="28"/>
        </w:rPr>
        <w:t xml:space="preserve">s o en condición de </w:t>
      </w:r>
      <w:proofErr w:type="spellStart"/>
      <w:r>
        <w:rPr>
          <w:rFonts w:ascii="Times New Roman" w:eastAsia="Times New Roman" w:hAnsi="Times New Roman" w:cs="Times New Roman"/>
          <w:i/>
          <w:sz w:val="28"/>
          <w:szCs w:val="28"/>
        </w:rPr>
        <w:t>discapacidad”.</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conforme</w:t>
      </w:r>
      <w:proofErr w:type="spellEnd"/>
      <w:r>
        <w:rPr>
          <w:rFonts w:ascii="Times New Roman" w:eastAsia="Times New Roman" w:hAnsi="Times New Roman" w:cs="Times New Roman"/>
          <w:sz w:val="28"/>
          <w:szCs w:val="28"/>
        </w:rPr>
        <w:t xml:space="preserve"> a los artículos 161 de la Constitución Política y 186,187 y 188 de la Ley 5ª de 1992.</w:t>
      </w:r>
    </w:p>
    <w:p w:rsidR="00363E40" w:rsidRDefault="00363E40">
      <w:pPr>
        <w:jc w:val="both"/>
        <w:rPr>
          <w:rFonts w:ascii="Times New Roman" w:eastAsia="Times New Roman" w:hAnsi="Times New Roman" w:cs="Times New Roman"/>
          <w:sz w:val="28"/>
          <w:szCs w:val="28"/>
        </w:rPr>
      </w:pPr>
    </w:p>
    <w:p w:rsidR="00363E40" w:rsidRDefault="002B256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 el fin de cumplir con la designación, se hizo el estudio de los textos que se aprobaron en las plenarias de la Cámara de </w:t>
      </w:r>
      <w:r>
        <w:rPr>
          <w:rFonts w:ascii="Times New Roman" w:eastAsia="Times New Roman" w:hAnsi="Times New Roman" w:cs="Times New Roman"/>
          <w:sz w:val="28"/>
          <w:szCs w:val="28"/>
        </w:rPr>
        <w:t xml:space="preserve">Representantes </w:t>
      </w:r>
      <w:proofErr w:type="gramStart"/>
      <w:r>
        <w:rPr>
          <w:rFonts w:ascii="Times New Roman" w:eastAsia="Times New Roman" w:hAnsi="Times New Roman" w:cs="Times New Roman"/>
          <w:sz w:val="28"/>
          <w:szCs w:val="28"/>
        </w:rPr>
        <w:t>y  del</w:t>
      </w:r>
      <w:proofErr w:type="gramEnd"/>
      <w:r>
        <w:rPr>
          <w:rFonts w:ascii="Times New Roman" w:eastAsia="Times New Roman" w:hAnsi="Times New Roman" w:cs="Times New Roman"/>
          <w:sz w:val="28"/>
          <w:szCs w:val="28"/>
        </w:rPr>
        <w:t xml:space="preserve"> Senado de la República lo cual arrojó que:</w:t>
      </w:r>
    </w:p>
    <w:p w:rsidR="00363E40" w:rsidRDefault="00363E40">
      <w:pPr>
        <w:jc w:val="both"/>
        <w:rPr>
          <w:rFonts w:ascii="Times New Roman" w:eastAsia="Times New Roman" w:hAnsi="Times New Roman" w:cs="Times New Roman"/>
          <w:sz w:val="28"/>
          <w:szCs w:val="28"/>
        </w:rPr>
      </w:pPr>
    </w:p>
    <w:p w:rsidR="00363E40" w:rsidRDefault="002B256C">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El texto aprobado en la Plenaria de la Cámara de Representantes cuenta con tres artículos, incluida la vigencia. El texto aprobado en la Plenaria del Senado de la República cuenta con cuatro</w:t>
      </w:r>
      <w:r>
        <w:rPr>
          <w:rFonts w:ascii="Times New Roman" w:eastAsia="Times New Roman" w:hAnsi="Times New Roman" w:cs="Times New Roman"/>
          <w:sz w:val="28"/>
          <w:szCs w:val="28"/>
        </w:rPr>
        <w:t xml:space="preserve"> artículos, incluida la vigencia.</w:t>
      </w:r>
    </w:p>
    <w:p w:rsidR="00363E40" w:rsidRDefault="00363E40">
      <w:pPr>
        <w:ind w:left="720"/>
        <w:jc w:val="both"/>
        <w:rPr>
          <w:rFonts w:ascii="Times New Roman" w:eastAsia="Times New Roman" w:hAnsi="Times New Roman" w:cs="Times New Roman"/>
          <w:sz w:val="28"/>
          <w:szCs w:val="28"/>
        </w:rPr>
      </w:pPr>
    </w:p>
    <w:p w:rsidR="00363E40" w:rsidRDefault="002B256C">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diferencia entre ambos textos aprobados radica en que el H.S. Juan Pablo Gallo incluyó desde el primer debate en la Comisión Tercera Constitucional Permanente del Senado de la República un artículo nuevo referente al o</w:t>
      </w:r>
      <w:r>
        <w:rPr>
          <w:rFonts w:ascii="Times New Roman" w:eastAsia="Times New Roman" w:hAnsi="Times New Roman" w:cs="Times New Roman"/>
          <w:sz w:val="28"/>
          <w:szCs w:val="28"/>
        </w:rPr>
        <w:t>bjeto de la iniciativa. Esto generó que no coincida la numeración de los artículos aprobados y el artículo 1° aprobado en cada una de las Cámaras. A pesar de esto, el contenido sustancial del articulado se mantiene junto al título aprobado.</w:t>
      </w:r>
    </w:p>
    <w:p w:rsidR="00363E40" w:rsidRDefault="00363E40">
      <w:pPr>
        <w:ind w:left="720"/>
        <w:jc w:val="both"/>
        <w:rPr>
          <w:rFonts w:ascii="Times New Roman" w:eastAsia="Times New Roman" w:hAnsi="Times New Roman" w:cs="Times New Roman"/>
          <w:sz w:val="28"/>
          <w:szCs w:val="28"/>
        </w:rPr>
      </w:pPr>
    </w:p>
    <w:p w:rsidR="00363E40" w:rsidRDefault="002B256C">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 esta forma,</w:t>
      </w:r>
      <w:r>
        <w:rPr>
          <w:rFonts w:ascii="Times New Roman" w:eastAsia="Times New Roman" w:hAnsi="Times New Roman" w:cs="Times New Roman"/>
          <w:sz w:val="28"/>
          <w:szCs w:val="28"/>
        </w:rPr>
        <w:t xml:space="preserve"> terminada la revisión de los textos aprobados en cada una de las Cámaras, </w:t>
      </w:r>
      <w:proofErr w:type="gramStart"/>
      <w:r>
        <w:rPr>
          <w:rFonts w:ascii="Times New Roman" w:eastAsia="Times New Roman" w:hAnsi="Times New Roman" w:cs="Times New Roman"/>
          <w:b/>
          <w:sz w:val="28"/>
          <w:szCs w:val="28"/>
        </w:rPr>
        <w:t>los  conciliadores</w:t>
      </w:r>
      <w:proofErr w:type="gramEnd"/>
      <w:r>
        <w:rPr>
          <w:rFonts w:ascii="Times New Roman" w:eastAsia="Times New Roman" w:hAnsi="Times New Roman" w:cs="Times New Roman"/>
          <w:b/>
          <w:sz w:val="28"/>
          <w:szCs w:val="28"/>
        </w:rPr>
        <w:t xml:space="preserve"> designados hemos tomado la decisión de acoger la totalidad del texto aprobado en la Plenaria del Senado</w:t>
      </w:r>
      <w:r>
        <w:rPr>
          <w:rFonts w:ascii="Times New Roman" w:eastAsia="Times New Roman" w:hAnsi="Times New Roman" w:cs="Times New Roman"/>
          <w:sz w:val="28"/>
          <w:szCs w:val="28"/>
        </w:rPr>
        <w:t xml:space="preserve"> como se muestra en la siguiente tabla de consideraciones: </w:t>
      </w:r>
    </w:p>
    <w:tbl>
      <w:tblPr>
        <w:tblStyle w:val="a6"/>
        <w:tblW w:w="1140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4260"/>
        <w:gridCol w:w="3075"/>
      </w:tblGrid>
      <w:tr w:rsidR="00363E40">
        <w:tc>
          <w:tcPr>
            <w:tcW w:w="4065" w:type="dxa"/>
            <w:shd w:val="clear" w:color="auto" w:fill="auto"/>
            <w:tcMar>
              <w:top w:w="100" w:type="dxa"/>
              <w:left w:w="100" w:type="dxa"/>
              <w:bottom w:w="100" w:type="dxa"/>
              <w:right w:w="100" w:type="dxa"/>
            </w:tcMar>
          </w:tcPr>
          <w:p w:rsidR="00363E40" w:rsidRDefault="002B256C">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Texto aprobado en la plenaria de la Cámara de Representantes</w:t>
            </w:r>
          </w:p>
        </w:tc>
        <w:tc>
          <w:tcPr>
            <w:tcW w:w="4260" w:type="dxa"/>
            <w:shd w:val="clear" w:color="auto" w:fill="auto"/>
            <w:tcMar>
              <w:top w:w="100" w:type="dxa"/>
              <w:left w:w="100" w:type="dxa"/>
              <w:bottom w:w="100" w:type="dxa"/>
              <w:right w:w="100" w:type="dxa"/>
            </w:tcMar>
          </w:tcPr>
          <w:p w:rsidR="00363E40" w:rsidRDefault="002B256C">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Texto aprobado en la plenaria del Senado de la República</w:t>
            </w:r>
          </w:p>
        </w:tc>
        <w:tc>
          <w:tcPr>
            <w:tcW w:w="3075" w:type="dxa"/>
            <w:shd w:val="clear" w:color="auto" w:fill="auto"/>
            <w:tcMar>
              <w:top w:w="100" w:type="dxa"/>
              <w:left w:w="100" w:type="dxa"/>
              <w:bottom w:w="100" w:type="dxa"/>
              <w:right w:w="100" w:type="dxa"/>
            </w:tcMar>
          </w:tcPr>
          <w:p w:rsidR="00363E40" w:rsidRDefault="002B256C">
            <w:pPr>
              <w:widowControl w:v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Consideración</w:t>
            </w:r>
          </w:p>
        </w:tc>
      </w:tr>
      <w:tr w:rsidR="00363E40">
        <w:tc>
          <w:tcPr>
            <w:tcW w:w="4065" w:type="dxa"/>
            <w:shd w:val="clear" w:color="auto" w:fill="auto"/>
            <w:tcMar>
              <w:top w:w="100" w:type="dxa"/>
              <w:left w:w="100" w:type="dxa"/>
              <w:bottom w:w="100" w:type="dxa"/>
              <w:right w:w="100" w:type="dxa"/>
            </w:tcMar>
          </w:tcPr>
          <w:p w:rsidR="00363E40" w:rsidRDefault="002B256C">
            <w:pPr>
              <w:pStyle w:val="Ttulo2"/>
              <w:keepNext w:val="0"/>
              <w:keepLines w:val="0"/>
              <w:widowControl w:val="0"/>
              <w:spacing w:before="0" w:after="0" w:line="240" w:lineRule="auto"/>
              <w:ind w:left="141" w:right="75"/>
              <w:jc w:val="both"/>
              <w:rPr>
                <w:rFonts w:ascii="Times New Roman" w:eastAsia="Times New Roman" w:hAnsi="Times New Roman" w:cs="Times New Roman"/>
                <w:b/>
                <w:sz w:val="28"/>
                <w:szCs w:val="28"/>
              </w:rPr>
            </w:pPr>
            <w:bookmarkStart w:id="1" w:name="_heading=h.9yihq8pp24k3" w:colFirst="0" w:colLast="0"/>
            <w:bookmarkEnd w:id="1"/>
            <w:r>
              <w:rPr>
                <w:rFonts w:ascii="Times New Roman" w:eastAsia="Times New Roman" w:hAnsi="Times New Roman" w:cs="Times New Roman"/>
                <w:b/>
                <w:sz w:val="28"/>
                <w:szCs w:val="28"/>
              </w:rPr>
              <w:t>“Por medio de la cual se armoniza la normatividad vigente en materia tributaria respecto a las familias con los hijos dependientes o en situación de discapacidad”</w:t>
            </w:r>
          </w:p>
        </w:tc>
        <w:tc>
          <w:tcPr>
            <w:tcW w:w="4260" w:type="dxa"/>
            <w:shd w:val="clear" w:color="auto" w:fill="auto"/>
            <w:tcMar>
              <w:top w:w="100" w:type="dxa"/>
              <w:left w:w="100" w:type="dxa"/>
              <w:bottom w:w="100" w:type="dxa"/>
              <w:right w:w="100" w:type="dxa"/>
            </w:tcMar>
          </w:tcPr>
          <w:p w:rsidR="00363E40" w:rsidRDefault="002B256C">
            <w:pPr>
              <w:pStyle w:val="Ttulo2"/>
              <w:keepNext w:val="0"/>
              <w:keepLines w:val="0"/>
              <w:widowControl w:val="0"/>
              <w:spacing w:before="0" w:after="0"/>
              <w:ind w:right="75"/>
              <w:jc w:val="both"/>
              <w:rPr>
                <w:rFonts w:ascii="Times New Roman" w:eastAsia="Times New Roman" w:hAnsi="Times New Roman" w:cs="Times New Roman"/>
                <w:b/>
                <w:sz w:val="28"/>
                <w:szCs w:val="28"/>
              </w:rPr>
            </w:pPr>
            <w:bookmarkStart w:id="2" w:name="_heading=h.8flxo8aa8k91" w:colFirst="0" w:colLast="0"/>
            <w:bookmarkEnd w:id="2"/>
            <w:r>
              <w:rPr>
                <w:rFonts w:ascii="Times New Roman" w:eastAsia="Times New Roman" w:hAnsi="Times New Roman" w:cs="Times New Roman"/>
                <w:b/>
                <w:sz w:val="28"/>
                <w:szCs w:val="28"/>
              </w:rPr>
              <w:t>“Por medio de la cual se armoniza la normatividad vigente en materia tributaria respecto a las familias con los hijos dependientes o en situación de discapacidad”</w:t>
            </w:r>
          </w:p>
        </w:tc>
        <w:tc>
          <w:tcPr>
            <w:tcW w:w="3075" w:type="dxa"/>
            <w:shd w:val="clear" w:color="auto" w:fill="auto"/>
            <w:tcMar>
              <w:top w:w="100" w:type="dxa"/>
              <w:left w:w="100" w:type="dxa"/>
              <w:bottom w:w="100" w:type="dxa"/>
              <w:right w:w="100" w:type="dxa"/>
            </w:tcMar>
          </w:tcPr>
          <w:p w:rsidR="00363E40" w:rsidRDefault="002B256C">
            <w:pPr>
              <w:widowControl w:val="0"/>
              <w:pBdr>
                <w:top w:val="nil"/>
                <w:left w:val="nil"/>
                <w:bottom w:val="nil"/>
                <w:right w:val="nil"/>
                <w:between w:val="nil"/>
              </w:pBd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No hay discrepancia en el título, se acoge el texto aprobado de ambas cámaras.</w:t>
            </w:r>
          </w:p>
        </w:tc>
      </w:tr>
      <w:tr w:rsidR="00363E40">
        <w:tc>
          <w:tcPr>
            <w:tcW w:w="4065" w:type="dxa"/>
            <w:shd w:val="clear" w:color="auto" w:fill="auto"/>
            <w:tcMar>
              <w:top w:w="100" w:type="dxa"/>
              <w:left w:w="100" w:type="dxa"/>
              <w:bottom w:w="100" w:type="dxa"/>
              <w:right w:w="100" w:type="dxa"/>
            </w:tcMar>
          </w:tcPr>
          <w:p w:rsidR="00363E40" w:rsidRDefault="002B256C">
            <w:pPr>
              <w:widowControl w:val="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Artículo 1º. </w:t>
            </w:r>
            <w:r>
              <w:rPr>
                <w:rFonts w:ascii="Times New Roman" w:eastAsia="Times New Roman" w:hAnsi="Times New Roman" w:cs="Times New Roman"/>
                <w:b/>
                <w:sz w:val="28"/>
                <w:szCs w:val="28"/>
              </w:rPr>
              <w:t xml:space="preserve">Modifíquense los numerales 2 y 3 del parágrafo segundo del artículo 387 del Estatuto Tributario, los cuales quedarán así: </w:t>
            </w:r>
            <w:r>
              <w:rPr>
                <w:rFonts w:ascii="Times New Roman" w:eastAsia="Times New Roman" w:hAnsi="Times New Roman" w:cs="Times New Roman"/>
                <w:sz w:val="28"/>
                <w:szCs w:val="28"/>
              </w:rPr>
              <w:t xml:space="preserve">2. Los hijos del contribuyente con edad entre 18 y 25 años, cuando el padre o madre </w:t>
            </w:r>
            <w:r>
              <w:rPr>
                <w:rFonts w:ascii="Times New Roman" w:eastAsia="Times New Roman" w:hAnsi="Times New Roman" w:cs="Times New Roman"/>
                <w:sz w:val="28"/>
                <w:szCs w:val="28"/>
              </w:rPr>
              <w:lastRenderedPageBreak/>
              <w:t>contribuyente persona natural se encuentre financi</w:t>
            </w:r>
            <w:r>
              <w:rPr>
                <w:rFonts w:ascii="Times New Roman" w:eastAsia="Times New Roman" w:hAnsi="Times New Roman" w:cs="Times New Roman"/>
                <w:sz w:val="28"/>
                <w:szCs w:val="28"/>
              </w:rPr>
              <w:t>ando su educación en instituciones formales de educación superior certificadas por el ICFES o la autoridad oficial correspondiente; o en los programas técnicos de educación no formal debidamente acreditados por la autoridad competente. 3. Los hijos del con</w:t>
            </w:r>
            <w:r>
              <w:rPr>
                <w:rFonts w:ascii="Times New Roman" w:eastAsia="Times New Roman" w:hAnsi="Times New Roman" w:cs="Times New Roman"/>
                <w:sz w:val="28"/>
                <w:szCs w:val="28"/>
              </w:rPr>
              <w:t>tribuyente mayores de 18 años que se encuentren en situación de dependencia originada en factores físicos o psicológicos que sean certificados por el Ministerio de Salud y Protección Social o la entidad determinada por las normas vigentes.</w:t>
            </w:r>
          </w:p>
        </w:tc>
        <w:tc>
          <w:tcPr>
            <w:tcW w:w="4260" w:type="dxa"/>
            <w:shd w:val="clear" w:color="auto" w:fill="auto"/>
            <w:tcMar>
              <w:top w:w="100" w:type="dxa"/>
              <w:left w:w="100" w:type="dxa"/>
              <w:bottom w:w="100" w:type="dxa"/>
              <w:right w:w="100" w:type="dxa"/>
            </w:tcMar>
          </w:tcPr>
          <w:p w:rsidR="00363E40" w:rsidRDefault="002B256C">
            <w:pPr>
              <w:widowControl w:val="0"/>
              <w:ind w:right="-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Artículo 1 º. Objeto. </w:t>
            </w:r>
            <w:r>
              <w:rPr>
                <w:rFonts w:ascii="Times New Roman" w:eastAsia="Times New Roman" w:hAnsi="Times New Roman" w:cs="Times New Roman"/>
                <w:sz w:val="28"/>
                <w:szCs w:val="28"/>
              </w:rPr>
              <w:t xml:space="preserve">La presente Ley tiene como objeto armonizar los preceptos legales y jurisprudenciales actuales contenidos en el numeral 2 del parágrafo 2 del artículo 387 del Estatuto Tributario, donde se definen las condiciones de dependientes para </w:t>
            </w:r>
            <w:r>
              <w:rPr>
                <w:rFonts w:ascii="Times New Roman" w:eastAsia="Times New Roman" w:hAnsi="Times New Roman" w:cs="Times New Roman"/>
                <w:sz w:val="28"/>
                <w:szCs w:val="28"/>
              </w:rPr>
              <w:lastRenderedPageBreak/>
              <w:t>efectos de la deducción de la base de retención, para contribuyentes que se encuentren financiando los estudios de sus hijos en instituciones de educación superior certificadas por el ICFES o la autoridad oficial correspondiente; o en los programas técnico</w:t>
            </w:r>
            <w:r>
              <w:rPr>
                <w:rFonts w:ascii="Times New Roman" w:eastAsia="Times New Roman" w:hAnsi="Times New Roman" w:cs="Times New Roman"/>
                <w:sz w:val="28"/>
                <w:szCs w:val="28"/>
              </w:rPr>
              <w:t>s de educación no formal debidamente acreditados por la autoridad competente.</w:t>
            </w:r>
          </w:p>
        </w:tc>
        <w:tc>
          <w:tcPr>
            <w:tcW w:w="3075" w:type="dxa"/>
            <w:shd w:val="clear" w:color="auto" w:fill="auto"/>
            <w:tcMar>
              <w:top w:w="100" w:type="dxa"/>
              <w:left w:w="100" w:type="dxa"/>
              <w:bottom w:w="100" w:type="dxa"/>
              <w:right w:w="100" w:type="dxa"/>
            </w:tcMar>
          </w:tcPr>
          <w:p w:rsidR="00363E40" w:rsidRDefault="002B256C">
            <w:pPr>
              <w:widowControl w:val="0"/>
              <w:pBdr>
                <w:top w:val="nil"/>
                <w:left w:val="nil"/>
                <w:bottom w:val="nil"/>
                <w:right w:val="nil"/>
                <w:between w:val="nil"/>
              </w:pBd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Se acoge el texto aprobado en la plenaria del Senado dado que enriquece la iniciativa.</w:t>
            </w:r>
          </w:p>
          <w:p w:rsidR="00363E40" w:rsidRDefault="00363E40">
            <w:pPr>
              <w:widowControl w:val="0"/>
              <w:pBdr>
                <w:top w:val="nil"/>
                <w:left w:val="nil"/>
                <w:bottom w:val="nil"/>
                <w:right w:val="nil"/>
                <w:between w:val="nil"/>
              </w:pBdr>
              <w:jc w:val="both"/>
              <w:rPr>
                <w:rFonts w:ascii="Times New Roman" w:eastAsia="Times New Roman" w:hAnsi="Times New Roman" w:cs="Times New Roman"/>
                <w:b/>
                <w:sz w:val="28"/>
                <w:szCs w:val="28"/>
              </w:rPr>
            </w:pPr>
          </w:p>
        </w:tc>
      </w:tr>
      <w:tr w:rsidR="00363E40">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63E40" w:rsidRDefault="002B256C">
            <w:pPr>
              <w:widowControl w:val="0"/>
              <w:ind w:right="1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2º.</w:t>
            </w:r>
            <w:r>
              <w:rPr>
                <w:rFonts w:ascii="Times New Roman" w:eastAsia="Times New Roman" w:hAnsi="Times New Roman" w:cs="Times New Roman"/>
                <w:sz w:val="28"/>
                <w:szCs w:val="28"/>
              </w:rPr>
              <w:t xml:space="preserve"> En los seis (6) meses siguientes a la entrada en vigencia de la presente ley, la Dirección de Impuestos y Aduanas Nacionales (DIAN) reglamentará el medio por el cual el contribuyente certificará la custodia del dependiente y el cumplimiento de las obligac</w:t>
            </w:r>
            <w:r>
              <w:rPr>
                <w:rFonts w:ascii="Times New Roman" w:eastAsia="Times New Roman" w:hAnsi="Times New Roman" w:cs="Times New Roman"/>
                <w:sz w:val="28"/>
                <w:szCs w:val="28"/>
              </w:rPr>
              <w:t>iones alimentarias conforme a la ley para acceder al beneficio causado por los numerales 2 y 3 del parágrafo segundo del artículo 387 del Estatuto Tributario.</w:t>
            </w:r>
          </w:p>
        </w:tc>
        <w:tc>
          <w:tcPr>
            <w:tcW w:w="4260" w:type="dxa"/>
            <w:shd w:val="clear" w:color="auto" w:fill="auto"/>
            <w:tcMar>
              <w:top w:w="100" w:type="dxa"/>
              <w:left w:w="100" w:type="dxa"/>
              <w:bottom w:w="100" w:type="dxa"/>
              <w:right w:w="100" w:type="dxa"/>
            </w:tcMar>
          </w:tcPr>
          <w:p w:rsidR="00363E40" w:rsidRDefault="002B256C">
            <w:pPr>
              <w:widowControl w:val="0"/>
              <w:spacing w:line="240" w:lineRule="auto"/>
              <w:ind w:right="-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Artículo 2º. Modifíquense los numerales 2 y 3 del parágrafo segundo del artículo 387 del Estatuto</w:t>
            </w:r>
            <w:r>
              <w:rPr>
                <w:rFonts w:ascii="Times New Roman" w:eastAsia="Times New Roman" w:hAnsi="Times New Roman" w:cs="Times New Roman"/>
                <w:b/>
                <w:sz w:val="28"/>
                <w:szCs w:val="28"/>
              </w:rPr>
              <w:t xml:space="preserve"> Tributario, los cuales quedarán así:</w:t>
            </w:r>
          </w:p>
          <w:p w:rsidR="00363E40" w:rsidRDefault="002B256C">
            <w:pPr>
              <w:widowControl w:val="0"/>
              <w:numPr>
                <w:ilvl w:val="0"/>
                <w:numId w:val="1"/>
              </w:numPr>
              <w:tabs>
                <w:tab w:val="left" w:pos="487"/>
              </w:tabs>
              <w:spacing w:before="292" w:line="240" w:lineRule="auto"/>
              <w:ind w:right="-6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Los hijos del contribuyente con edad entre 18 y 25 años, cuando el padre o madre contribuyente persona natural se encuentre financiando su educación en instituciones formales de educación superior certificadas por el ICFES o la autoridad oficial correspond</w:t>
            </w:r>
            <w:r>
              <w:rPr>
                <w:rFonts w:ascii="Times New Roman" w:eastAsia="Times New Roman" w:hAnsi="Times New Roman" w:cs="Times New Roman"/>
                <w:sz w:val="28"/>
                <w:szCs w:val="28"/>
              </w:rPr>
              <w:t xml:space="preserve">iente; o en los programas técnicos de educación no formal debidamente acreditados </w:t>
            </w:r>
            <w:r>
              <w:rPr>
                <w:rFonts w:ascii="Times New Roman" w:eastAsia="Times New Roman" w:hAnsi="Times New Roman" w:cs="Times New Roman"/>
                <w:sz w:val="28"/>
                <w:szCs w:val="28"/>
              </w:rPr>
              <w:lastRenderedPageBreak/>
              <w:t>por la autoridad competente.</w:t>
            </w:r>
          </w:p>
          <w:p w:rsidR="00363E40" w:rsidRDefault="00363E40">
            <w:pPr>
              <w:widowControl w:val="0"/>
              <w:spacing w:before="1" w:line="240" w:lineRule="auto"/>
              <w:rPr>
                <w:rFonts w:ascii="Times New Roman" w:eastAsia="Times New Roman" w:hAnsi="Times New Roman" w:cs="Times New Roman"/>
                <w:sz w:val="28"/>
                <w:szCs w:val="28"/>
              </w:rPr>
            </w:pPr>
          </w:p>
          <w:p w:rsidR="00363E40" w:rsidRDefault="002B256C">
            <w:pPr>
              <w:widowControl w:val="0"/>
              <w:numPr>
                <w:ilvl w:val="0"/>
                <w:numId w:val="1"/>
              </w:numPr>
              <w:tabs>
                <w:tab w:val="left" w:pos="499"/>
              </w:tabs>
              <w:spacing w:before="1" w:line="240" w:lineRule="auto"/>
              <w:ind w:right="-6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Los hijos del contribuyente mayores de dieciocho (18) años que se encuentren en situación de dependencia, originada en factores físicos o psicol</w:t>
            </w:r>
            <w:r>
              <w:rPr>
                <w:rFonts w:ascii="Times New Roman" w:eastAsia="Times New Roman" w:hAnsi="Times New Roman" w:cs="Times New Roman"/>
                <w:sz w:val="28"/>
                <w:szCs w:val="28"/>
              </w:rPr>
              <w:t>ógicos que sean certificados por el Ministerio de Salud y Protección Social o la entidad determinada por las normas vigentes.</w:t>
            </w:r>
          </w:p>
          <w:p w:rsidR="00363E40" w:rsidRDefault="00363E40">
            <w:pPr>
              <w:widowControl w:val="0"/>
              <w:ind w:right="100"/>
              <w:jc w:val="both"/>
              <w:rPr>
                <w:rFonts w:ascii="Times New Roman" w:eastAsia="Times New Roman" w:hAnsi="Times New Roman" w:cs="Times New Roman"/>
                <w:sz w:val="28"/>
                <w:szCs w:val="28"/>
              </w:rPr>
            </w:pPr>
          </w:p>
          <w:p w:rsidR="00363E40" w:rsidRDefault="00363E40">
            <w:pPr>
              <w:widowControl w:val="0"/>
              <w:pBdr>
                <w:top w:val="nil"/>
                <w:left w:val="nil"/>
                <w:bottom w:val="nil"/>
                <w:right w:val="nil"/>
                <w:between w:val="nil"/>
              </w:pBdr>
              <w:jc w:val="both"/>
              <w:rPr>
                <w:rFonts w:ascii="Times New Roman" w:eastAsia="Times New Roman" w:hAnsi="Times New Roman" w:cs="Times New Roman"/>
                <w:b/>
                <w:sz w:val="28"/>
                <w:szCs w:val="28"/>
              </w:rPr>
            </w:pPr>
          </w:p>
        </w:tc>
        <w:tc>
          <w:tcPr>
            <w:tcW w:w="3075" w:type="dxa"/>
            <w:shd w:val="clear" w:color="auto" w:fill="auto"/>
            <w:tcMar>
              <w:top w:w="100" w:type="dxa"/>
              <w:left w:w="100" w:type="dxa"/>
              <w:bottom w:w="100" w:type="dxa"/>
              <w:right w:w="100" w:type="dxa"/>
            </w:tcMar>
          </w:tcPr>
          <w:p w:rsidR="00363E40" w:rsidRDefault="002B256C">
            <w:pPr>
              <w:widowControl w:val="0"/>
              <w:pBdr>
                <w:top w:val="nil"/>
                <w:left w:val="nil"/>
                <w:bottom w:val="nil"/>
                <w:right w:val="nil"/>
                <w:between w:val="nil"/>
              </w:pBd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Se acoge el texto aprobado en la plenaria del Senado por el cambio de numeración entre los textos aprobados.</w:t>
            </w:r>
          </w:p>
        </w:tc>
      </w:tr>
      <w:tr w:rsidR="00363E40">
        <w:tc>
          <w:tcPr>
            <w:tcW w:w="4065" w:type="dxa"/>
            <w:shd w:val="clear" w:color="auto" w:fill="auto"/>
            <w:tcMar>
              <w:top w:w="100" w:type="dxa"/>
              <w:left w:w="100" w:type="dxa"/>
              <w:bottom w:w="100" w:type="dxa"/>
              <w:right w:w="100" w:type="dxa"/>
            </w:tcMar>
          </w:tcPr>
          <w:p w:rsidR="00363E40" w:rsidRDefault="002B256C">
            <w:pPr>
              <w:widowControl w:val="0"/>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3º. Vigencia.</w:t>
            </w:r>
            <w:r>
              <w:rPr>
                <w:rFonts w:ascii="Times New Roman" w:eastAsia="Times New Roman" w:hAnsi="Times New Roman" w:cs="Times New Roman"/>
                <w:sz w:val="28"/>
                <w:szCs w:val="28"/>
              </w:rPr>
              <w:t xml:space="preserve"> La presente ley rige a partir de la fecha de su promulgación y deroga todas las disposiciones que le sean contrarias.</w:t>
            </w:r>
          </w:p>
        </w:tc>
        <w:tc>
          <w:tcPr>
            <w:tcW w:w="4260" w:type="dxa"/>
            <w:shd w:val="clear" w:color="auto" w:fill="auto"/>
            <w:tcMar>
              <w:top w:w="100" w:type="dxa"/>
              <w:left w:w="100" w:type="dxa"/>
              <w:bottom w:w="100" w:type="dxa"/>
              <w:right w:w="100" w:type="dxa"/>
            </w:tcMar>
          </w:tcPr>
          <w:p w:rsidR="00363E40" w:rsidRDefault="002B256C">
            <w:pPr>
              <w:widowControl w:val="0"/>
              <w:ind w:right="1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3º.</w:t>
            </w:r>
            <w:r>
              <w:rPr>
                <w:rFonts w:ascii="Times New Roman" w:eastAsia="Times New Roman" w:hAnsi="Times New Roman" w:cs="Times New Roman"/>
                <w:sz w:val="28"/>
                <w:szCs w:val="28"/>
              </w:rPr>
              <w:t xml:space="preserve"> En los seis (6) meses siguientes a la entrada en vigencia de la presente ley, la Dirección de Impuesto</w:t>
            </w:r>
            <w:r>
              <w:rPr>
                <w:rFonts w:ascii="Times New Roman" w:eastAsia="Times New Roman" w:hAnsi="Times New Roman" w:cs="Times New Roman"/>
                <w:sz w:val="28"/>
                <w:szCs w:val="28"/>
              </w:rPr>
              <w:t>s y Aduanas Nacionales (DIAN) reglamentará el medio por el cual el contribuyente certificará la custodia del dependiente y el cumplimiento de las obligaciones alimentarias conforme a la ley para acceder al beneficio causado por los numerales 2 y 3 del pará</w:t>
            </w:r>
            <w:r>
              <w:rPr>
                <w:rFonts w:ascii="Times New Roman" w:eastAsia="Times New Roman" w:hAnsi="Times New Roman" w:cs="Times New Roman"/>
                <w:sz w:val="28"/>
                <w:szCs w:val="28"/>
              </w:rPr>
              <w:t>grafo segundo del artículo 387 del Estatuto Tributario.</w:t>
            </w:r>
          </w:p>
          <w:p w:rsidR="00363E40" w:rsidRDefault="00363E40">
            <w:pPr>
              <w:widowControl w:val="0"/>
              <w:spacing w:before="240"/>
              <w:jc w:val="both"/>
              <w:rPr>
                <w:rFonts w:ascii="Times New Roman" w:eastAsia="Times New Roman" w:hAnsi="Times New Roman" w:cs="Times New Roman"/>
                <w:b/>
                <w:sz w:val="28"/>
                <w:szCs w:val="28"/>
              </w:rPr>
            </w:pPr>
          </w:p>
          <w:p w:rsidR="00363E40" w:rsidRDefault="00363E40">
            <w:pPr>
              <w:widowControl w:val="0"/>
              <w:ind w:left="720" w:hanging="360"/>
              <w:jc w:val="both"/>
              <w:rPr>
                <w:rFonts w:ascii="Times New Roman" w:eastAsia="Times New Roman" w:hAnsi="Times New Roman" w:cs="Times New Roman"/>
                <w:b/>
                <w:sz w:val="28"/>
                <w:szCs w:val="28"/>
              </w:rPr>
            </w:pPr>
          </w:p>
          <w:p w:rsidR="00363E40" w:rsidRDefault="00363E40">
            <w:pPr>
              <w:widowControl w:val="0"/>
              <w:pBdr>
                <w:top w:val="nil"/>
                <w:left w:val="nil"/>
                <w:bottom w:val="nil"/>
                <w:right w:val="nil"/>
                <w:between w:val="nil"/>
              </w:pBdr>
              <w:jc w:val="both"/>
              <w:rPr>
                <w:rFonts w:ascii="Times New Roman" w:eastAsia="Times New Roman" w:hAnsi="Times New Roman" w:cs="Times New Roman"/>
                <w:b/>
                <w:sz w:val="28"/>
                <w:szCs w:val="28"/>
              </w:rPr>
            </w:pPr>
          </w:p>
        </w:tc>
        <w:tc>
          <w:tcPr>
            <w:tcW w:w="3075" w:type="dxa"/>
            <w:shd w:val="clear" w:color="auto" w:fill="auto"/>
            <w:tcMar>
              <w:top w:w="100" w:type="dxa"/>
              <w:left w:w="100" w:type="dxa"/>
              <w:bottom w:w="100" w:type="dxa"/>
              <w:right w:w="100" w:type="dxa"/>
            </w:tcMar>
          </w:tcPr>
          <w:p w:rsidR="00363E40" w:rsidRDefault="002B256C">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 acoge el texto aprobado en la plenaria del Senado por el cambio de numeración entre los textos aprobados.</w:t>
            </w:r>
          </w:p>
          <w:p w:rsidR="00363E40" w:rsidRDefault="00363E40">
            <w:pPr>
              <w:widowControl w:val="0"/>
              <w:jc w:val="both"/>
              <w:rPr>
                <w:rFonts w:ascii="Times New Roman" w:eastAsia="Times New Roman" w:hAnsi="Times New Roman" w:cs="Times New Roman"/>
                <w:sz w:val="28"/>
                <w:szCs w:val="28"/>
              </w:rPr>
            </w:pPr>
          </w:p>
        </w:tc>
      </w:tr>
      <w:tr w:rsidR="00363E40">
        <w:tc>
          <w:tcPr>
            <w:tcW w:w="4065" w:type="dxa"/>
            <w:shd w:val="clear" w:color="auto" w:fill="auto"/>
            <w:tcMar>
              <w:top w:w="100" w:type="dxa"/>
              <w:left w:w="100" w:type="dxa"/>
              <w:bottom w:w="100" w:type="dxa"/>
              <w:right w:w="100" w:type="dxa"/>
            </w:tcMar>
          </w:tcPr>
          <w:p w:rsidR="00363E40" w:rsidRDefault="002B256C">
            <w:pPr>
              <w:widowControl w:val="0"/>
              <w:ind w:right="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 plenaria de Cámara sólo se aprobaron 3 artículos.</w:t>
            </w:r>
          </w:p>
          <w:p w:rsidR="00363E40" w:rsidRDefault="00363E40">
            <w:pPr>
              <w:widowControl w:val="0"/>
              <w:pBdr>
                <w:top w:val="nil"/>
                <w:left w:val="nil"/>
                <w:bottom w:val="nil"/>
                <w:right w:val="nil"/>
                <w:between w:val="nil"/>
              </w:pBdr>
              <w:jc w:val="both"/>
              <w:rPr>
                <w:rFonts w:ascii="Times New Roman" w:eastAsia="Times New Roman" w:hAnsi="Times New Roman" w:cs="Times New Roman"/>
                <w:sz w:val="28"/>
                <w:szCs w:val="28"/>
              </w:rPr>
            </w:pPr>
          </w:p>
        </w:tc>
        <w:tc>
          <w:tcPr>
            <w:tcW w:w="4260" w:type="dxa"/>
            <w:shd w:val="clear" w:color="auto" w:fill="auto"/>
            <w:tcMar>
              <w:top w:w="100" w:type="dxa"/>
              <w:left w:w="100" w:type="dxa"/>
              <w:bottom w:w="100" w:type="dxa"/>
              <w:right w:w="100" w:type="dxa"/>
            </w:tcMar>
          </w:tcPr>
          <w:p w:rsidR="00363E40" w:rsidRDefault="002B256C">
            <w:pPr>
              <w:widowControl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Artículo 4º. Vigencia.</w:t>
            </w:r>
            <w:r>
              <w:rPr>
                <w:rFonts w:ascii="Times New Roman" w:eastAsia="Times New Roman" w:hAnsi="Times New Roman" w:cs="Times New Roman"/>
                <w:sz w:val="28"/>
                <w:szCs w:val="28"/>
              </w:rPr>
              <w:t xml:space="preserve"> La presente ley rige a partir de la fecha de su promulgación y deroga todas las disposiciones que le sean contrarias.</w:t>
            </w:r>
          </w:p>
        </w:tc>
        <w:tc>
          <w:tcPr>
            <w:tcW w:w="3075" w:type="dxa"/>
            <w:shd w:val="clear" w:color="auto" w:fill="auto"/>
            <w:tcMar>
              <w:top w:w="100" w:type="dxa"/>
              <w:left w:w="100" w:type="dxa"/>
              <w:bottom w:w="100" w:type="dxa"/>
              <w:right w:w="100" w:type="dxa"/>
            </w:tcMar>
          </w:tcPr>
          <w:p w:rsidR="00363E40" w:rsidRDefault="002B256C">
            <w:pPr>
              <w:widowControl w:val="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Se acoge el texto aprobado en la plenaria del Senado por el cambio de numeración </w:t>
            </w:r>
            <w:r>
              <w:rPr>
                <w:rFonts w:ascii="Times New Roman" w:eastAsia="Times New Roman" w:hAnsi="Times New Roman" w:cs="Times New Roman"/>
                <w:b/>
                <w:sz w:val="28"/>
                <w:szCs w:val="28"/>
              </w:rPr>
              <w:lastRenderedPageBreak/>
              <w:t>entre los textos aprobados.</w:t>
            </w:r>
          </w:p>
          <w:p w:rsidR="00363E40" w:rsidRDefault="00363E40">
            <w:pPr>
              <w:widowControl w:val="0"/>
              <w:jc w:val="both"/>
              <w:rPr>
                <w:rFonts w:ascii="Times New Roman" w:eastAsia="Times New Roman" w:hAnsi="Times New Roman" w:cs="Times New Roman"/>
                <w:sz w:val="28"/>
                <w:szCs w:val="28"/>
              </w:rPr>
            </w:pPr>
          </w:p>
        </w:tc>
      </w:tr>
    </w:tbl>
    <w:p w:rsidR="00363E40" w:rsidRDefault="00363E40">
      <w:pPr>
        <w:jc w:val="both"/>
        <w:rPr>
          <w:rFonts w:ascii="Times New Roman" w:eastAsia="Times New Roman" w:hAnsi="Times New Roman" w:cs="Times New Roman"/>
          <w:b/>
          <w:sz w:val="28"/>
          <w:szCs w:val="28"/>
        </w:rPr>
        <w:sectPr w:rsidR="00363E40">
          <w:headerReference w:type="default" r:id="rId8"/>
          <w:footerReference w:type="default" r:id="rId9"/>
          <w:pgSz w:w="12240" w:h="15840"/>
          <w:pgMar w:top="1440" w:right="1440" w:bottom="1440" w:left="1440" w:header="720" w:footer="720" w:gutter="0"/>
          <w:pgNumType w:start="1"/>
          <w:cols w:space="720"/>
        </w:sectPr>
      </w:pPr>
    </w:p>
    <w:p w:rsidR="00363E40" w:rsidRDefault="00363E40">
      <w:pPr>
        <w:jc w:val="both"/>
        <w:rPr>
          <w:rFonts w:ascii="Times New Roman" w:eastAsia="Times New Roman" w:hAnsi="Times New Roman" w:cs="Times New Roman"/>
          <w:b/>
          <w:sz w:val="28"/>
          <w:szCs w:val="28"/>
        </w:rPr>
        <w:sectPr w:rsidR="00363E40">
          <w:type w:val="continuous"/>
          <w:pgSz w:w="12240" w:h="15840"/>
          <w:pgMar w:top="1440" w:right="1440" w:bottom="1440" w:left="1440" w:header="720" w:footer="720" w:gutter="0"/>
          <w:cols w:num="2" w:space="720" w:equalWidth="0">
            <w:col w:w="4320" w:space="720"/>
            <w:col w:w="4320" w:space="0"/>
          </w:cols>
        </w:sectPr>
      </w:pPr>
    </w:p>
    <w:p w:rsidR="00363E40" w:rsidRDefault="002B256C">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TEXTO CONCILIADO DEL PROYECTO DE LEY 018 DE 2022, CÁMARA-313 DE 2023, SENADO “POR MEDIO DE LA CUAL SE ARMONIZA LA NORMATIVIDAD VIGENTE EN MATERIA TRIBUTARIA RESPECTO A LAS FAMILIAS CON HIJOS DEPENDIENTES O CONDICI</w:t>
      </w:r>
      <w:r>
        <w:rPr>
          <w:rFonts w:ascii="Times New Roman" w:eastAsia="Times New Roman" w:hAnsi="Times New Roman" w:cs="Times New Roman"/>
          <w:b/>
          <w:sz w:val="28"/>
          <w:szCs w:val="28"/>
        </w:rPr>
        <w:t>ÓN DE DISCAPACIDAD”</w:t>
      </w:r>
    </w:p>
    <w:p w:rsidR="00363E40" w:rsidRDefault="002B256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 CONGRESO DE LA REPÚBLICA</w:t>
      </w:r>
    </w:p>
    <w:p w:rsidR="00363E40" w:rsidRDefault="00363E40">
      <w:pPr>
        <w:jc w:val="both"/>
        <w:rPr>
          <w:rFonts w:ascii="Times New Roman" w:eastAsia="Times New Roman" w:hAnsi="Times New Roman" w:cs="Times New Roman"/>
          <w:b/>
          <w:sz w:val="28"/>
          <w:szCs w:val="28"/>
        </w:rPr>
      </w:pPr>
    </w:p>
    <w:p w:rsidR="00363E40" w:rsidRDefault="002B256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DECRETA:</w:t>
      </w:r>
    </w:p>
    <w:p w:rsidR="00363E40" w:rsidRDefault="00363E40">
      <w:pPr>
        <w:ind w:right="-136"/>
        <w:jc w:val="center"/>
        <w:rPr>
          <w:rFonts w:ascii="Times New Roman" w:eastAsia="Times New Roman" w:hAnsi="Times New Roman" w:cs="Times New Roman"/>
          <w:b/>
          <w:sz w:val="28"/>
          <w:szCs w:val="28"/>
        </w:rPr>
      </w:pPr>
    </w:p>
    <w:p w:rsidR="00363E40" w:rsidRDefault="002B256C">
      <w:pPr>
        <w:widowControl w:val="0"/>
        <w:ind w:right="-1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Artículo 1 º. Objeto. </w:t>
      </w:r>
      <w:r>
        <w:rPr>
          <w:rFonts w:ascii="Times New Roman" w:eastAsia="Times New Roman" w:hAnsi="Times New Roman" w:cs="Times New Roman"/>
          <w:sz w:val="28"/>
          <w:szCs w:val="28"/>
        </w:rPr>
        <w:t>La presente Ley tiene como objeto armonizar los preceptos legales y jurisprudenciales actuales contenidos en el numeral 2 del parágrafo 2 del artículo 387 del Estatuto Tributa</w:t>
      </w:r>
      <w:r>
        <w:rPr>
          <w:rFonts w:ascii="Times New Roman" w:eastAsia="Times New Roman" w:hAnsi="Times New Roman" w:cs="Times New Roman"/>
          <w:sz w:val="28"/>
          <w:szCs w:val="28"/>
        </w:rPr>
        <w:t>rio, donde se definen las condiciones de dependientes para efectos de la deducción de la base de retención, para contribuyentes que se encuentren financiando los estudios de sus hijos en instituciones de educación superior certificadas por el ICFES o la au</w:t>
      </w:r>
      <w:r>
        <w:rPr>
          <w:rFonts w:ascii="Times New Roman" w:eastAsia="Times New Roman" w:hAnsi="Times New Roman" w:cs="Times New Roman"/>
          <w:sz w:val="28"/>
          <w:szCs w:val="28"/>
        </w:rPr>
        <w:t>toridad oficial correspondiente; o en los programas técnicos de educación no formal debidamente acreditados por la autoridad competente.</w:t>
      </w:r>
    </w:p>
    <w:p w:rsidR="00363E40" w:rsidRDefault="00363E40">
      <w:pPr>
        <w:widowControl w:val="0"/>
        <w:ind w:right="-136"/>
        <w:jc w:val="both"/>
        <w:rPr>
          <w:rFonts w:ascii="Times New Roman" w:eastAsia="Times New Roman" w:hAnsi="Times New Roman" w:cs="Times New Roman"/>
          <w:sz w:val="28"/>
          <w:szCs w:val="28"/>
        </w:rPr>
      </w:pPr>
    </w:p>
    <w:p w:rsidR="00363E40" w:rsidRDefault="002B256C">
      <w:pPr>
        <w:widowControl w:val="0"/>
        <w:spacing w:line="240" w:lineRule="auto"/>
        <w:ind w:right="-13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Artículo 2º. Modifíquense los numerales 2 y 3 del parágrafo segundo del artículo 387 del Estatuto Tributario, los cuales quedarán así:</w:t>
      </w:r>
    </w:p>
    <w:p w:rsidR="00363E40" w:rsidRDefault="002B256C">
      <w:pPr>
        <w:widowControl w:val="0"/>
        <w:tabs>
          <w:tab w:val="left" w:pos="487"/>
        </w:tabs>
        <w:spacing w:before="292" w:line="240" w:lineRule="auto"/>
        <w:ind w:left="218"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2.Los hijos del contribuyente con edad entre 18 y 25 años, cuando el padre o madre contribuyente persona natural se encue</w:t>
      </w:r>
      <w:r>
        <w:rPr>
          <w:rFonts w:ascii="Times New Roman" w:eastAsia="Times New Roman" w:hAnsi="Times New Roman" w:cs="Times New Roman"/>
          <w:sz w:val="28"/>
          <w:szCs w:val="28"/>
        </w:rPr>
        <w:t>ntre financiando su educación en instituciones formales de educación superior certificadas por el ICFES o la autoridad oficial correspondiente; o en los programas técnicos de educación no formal debidamente acreditados por la autoridad competente.</w:t>
      </w:r>
    </w:p>
    <w:p w:rsidR="00363E40" w:rsidRDefault="00363E40">
      <w:pPr>
        <w:widowControl w:val="0"/>
        <w:spacing w:before="1" w:line="240" w:lineRule="auto"/>
        <w:ind w:right="-136"/>
        <w:rPr>
          <w:rFonts w:ascii="Times New Roman" w:eastAsia="Times New Roman" w:hAnsi="Times New Roman" w:cs="Times New Roman"/>
          <w:sz w:val="28"/>
          <w:szCs w:val="28"/>
        </w:rPr>
      </w:pPr>
    </w:p>
    <w:p w:rsidR="00363E40" w:rsidRDefault="002B256C">
      <w:pPr>
        <w:widowControl w:val="0"/>
        <w:tabs>
          <w:tab w:val="left" w:pos="499"/>
        </w:tabs>
        <w:spacing w:before="1" w:line="240" w:lineRule="auto"/>
        <w:ind w:left="218"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3.Los hijos del contribuyente mayores de dieciocho (18) años que se encuentren en situación de dependencia, originada en factores físicos o psicológicos que sean </w:t>
      </w:r>
      <w:r>
        <w:rPr>
          <w:rFonts w:ascii="Times New Roman" w:eastAsia="Times New Roman" w:hAnsi="Times New Roman" w:cs="Times New Roman"/>
          <w:sz w:val="28"/>
          <w:szCs w:val="28"/>
        </w:rPr>
        <w:lastRenderedPageBreak/>
        <w:t>certificados por el Ministerio de Salud y Protección Social o la entidad determinada por las n</w:t>
      </w:r>
      <w:r>
        <w:rPr>
          <w:rFonts w:ascii="Times New Roman" w:eastAsia="Times New Roman" w:hAnsi="Times New Roman" w:cs="Times New Roman"/>
          <w:sz w:val="28"/>
          <w:szCs w:val="28"/>
        </w:rPr>
        <w:t>ormas vigentes.</w:t>
      </w:r>
    </w:p>
    <w:p w:rsidR="00363E40" w:rsidRDefault="00363E40">
      <w:pPr>
        <w:widowControl w:val="0"/>
        <w:ind w:right="-136"/>
        <w:jc w:val="both"/>
        <w:rPr>
          <w:rFonts w:ascii="Times New Roman" w:eastAsia="Times New Roman" w:hAnsi="Times New Roman" w:cs="Times New Roman"/>
          <w:b/>
          <w:sz w:val="28"/>
          <w:szCs w:val="28"/>
        </w:rPr>
      </w:pPr>
    </w:p>
    <w:p w:rsidR="00363E40" w:rsidRDefault="002B256C">
      <w:pPr>
        <w:widowControl w:val="0"/>
        <w:ind w:right="-1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3º.</w:t>
      </w:r>
      <w:r>
        <w:rPr>
          <w:rFonts w:ascii="Times New Roman" w:eastAsia="Times New Roman" w:hAnsi="Times New Roman" w:cs="Times New Roman"/>
          <w:sz w:val="28"/>
          <w:szCs w:val="28"/>
        </w:rPr>
        <w:t xml:space="preserve"> En los seis (6) meses siguientes a la entrada en vigencia de la presente ley, la Dirección de Impuestos y Aduanas Nacionales (DIAN) reglamentará el medio por el cual el contribuyente certificará la custodia del dependiente y e</w:t>
      </w:r>
      <w:r>
        <w:rPr>
          <w:rFonts w:ascii="Times New Roman" w:eastAsia="Times New Roman" w:hAnsi="Times New Roman" w:cs="Times New Roman"/>
          <w:sz w:val="28"/>
          <w:szCs w:val="28"/>
        </w:rPr>
        <w:t>l cumplimiento de las obligaciones alimentarias conforme a la ley para acceder al beneficio causado por los numerales 2 y 3 del parágrafo segundo del artículo 387 del Estatuto Tributario.</w:t>
      </w:r>
    </w:p>
    <w:p w:rsidR="00363E40" w:rsidRDefault="00363E40">
      <w:pPr>
        <w:widowControl w:val="0"/>
        <w:ind w:right="-136"/>
        <w:jc w:val="both"/>
        <w:rPr>
          <w:rFonts w:ascii="Times New Roman" w:eastAsia="Times New Roman" w:hAnsi="Times New Roman" w:cs="Times New Roman"/>
          <w:sz w:val="28"/>
          <w:szCs w:val="28"/>
        </w:rPr>
      </w:pPr>
    </w:p>
    <w:p w:rsidR="00363E40" w:rsidRDefault="002B256C">
      <w:pPr>
        <w:widowControl w:val="0"/>
        <w:ind w:right="-1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Artículo 4º. Vigencia.</w:t>
      </w:r>
      <w:r>
        <w:rPr>
          <w:rFonts w:ascii="Times New Roman" w:eastAsia="Times New Roman" w:hAnsi="Times New Roman" w:cs="Times New Roman"/>
          <w:sz w:val="28"/>
          <w:szCs w:val="28"/>
        </w:rPr>
        <w:t xml:space="preserve"> La presente ley rige a partir de la fecha de</w:t>
      </w:r>
      <w:r>
        <w:rPr>
          <w:rFonts w:ascii="Times New Roman" w:eastAsia="Times New Roman" w:hAnsi="Times New Roman" w:cs="Times New Roman"/>
          <w:sz w:val="28"/>
          <w:szCs w:val="28"/>
        </w:rPr>
        <w:t xml:space="preserve"> su promulgación y deroga todas las disposiciones que le sean contrarias.</w:t>
      </w:r>
    </w:p>
    <w:p w:rsidR="00363E40" w:rsidRDefault="00363E40">
      <w:pPr>
        <w:widowControl w:val="0"/>
        <w:ind w:right="-136"/>
        <w:jc w:val="both"/>
        <w:rPr>
          <w:rFonts w:ascii="Times New Roman" w:eastAsia="Times New Roman" w:hAnsi="Times New Roman" w:cs="Times New Roman"/>
          <w:sz w:val="28"/>
          <w:szCs w:val="28"/>
        </w:rPr>
      </w:pPr>
    </w:p>
    <w:p w:rsidR="00363E40" w:rsidRDefault="002B256C">
      <w:pPr>
        <w:widowControl w:val="0"/>
        <w:ind w:righ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Atentamente,</w:t>
      </w:r>
    </w:p>
    <w:p w:rsidR="00363E40" w:rsidRDefault="00363E40">
      <w:pPr>
        <w:widowControl w:val="0"/>
        <w:ind w:right="-136"/>
        <w:jc w:val="both"/>
        <w:rPr>
          <w:rFonts w:ascii="Times New Roman" w:eastAsia="Times New Roman" w:hAnsi="Times New Roman" w:cs="Times New Roman"/>
          <w:sz w:val="28"/>
          <w:szCs w:val="28"/>
        </w:rPr>
      </w:pPr>
    </w:p>
    <w:p w:rsidR="00363E40" w:rsidRDefault="00363E40">
      <w:pPr>
        <w:jc w:val="both"/>
        <w:rPr>
          <w:rFonts w:ascii="Times New Roman" w:eastAsia="Times New Roman" w:hAnsi="Times New Roman" w:cs="Times New Roman"/>
          <w:b/>
          <w:sz w:val="28"/>
          <w:szCs w:val="28"/>
        </w:rPr>
      </w:pPr>
    </w:p>
    <w:bookmarkStart w:id="3" w:name="_heading=h.pzr8xaz9wx80" w:colFirst="0" w:colLast="0" w:displacedByCustomXml="next"/>
    <w:bookmarkEnd w:id="3" w:displacedByCustomXml="next"/>
    <w:sdt>
      <w:sdtPr>
        <w:tag w:val="goog_rdk_0"/>
        <w:id w:val="-2100635961"/>
        <w:lock w:val="contentLocked"/>
      </w:sdtPr>
      <w:sdtEndPr/>
      <w:sdtContent>
        <w:tbl>
          <w:tblPr>
            <w:tblStyle w:val="a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63E40">
            <w:tc>
              <w:tcPr>
                <w:tcW w:w="4680" w:type="dxa"/>
                <w:shd w:val="clear" w:color="auto" w:fill="auto"/>
                <w:tcMar>
                  <w:top w:w="100" w:type="dxa"/>
                  <w:left w:w="100" w:type="dxa"/>
                  <w:bottom w:w="100" w:type="dxa"/>
                  <w:right w:w="100" w:type="dxa"/>
                </w:tcMar>
              </w:tcPr>
              <w:p w:rsidR="00363E40" w:rsidRDefault="00363E40">
                <w:pPr>
                  <w:pStyle w:val="Ttulo2"/>
                  <w:keepNext w:val="0"/>
                  <w:keepLines w:val="0"/>
                  <w:widowControl w:val="0"/>
                  <w:spacing w:before="0" w:after="0" w:line="252" w:lineRule="auto"/>
                  <w:ind w:left="92" w:right="585"/>
                  <w:jc w:val="center"/>
                  <w:rPr>
                    <w:rFonts w:ascii="Times New Roman" w:eastAsia="Times New Roman" w:hAnsi="Times New Roman" w:cs="Times New Roman"/>
                    <w:b/>
                    <w:sz w:val="26"/>
                    <w:szCs w:val="26"/>
                  </w:rPr>
                </w:pPr>
              </w:p>
              <w:p w:rsidR="00363E40" w:rsidRDefault="002B256C">
                <w:pPr>
                  <w:pStyle w:val="Ttulo2"/>
                  <w:keepNext w:val="0"/>
                  <w:keepLines w:val="0"/>
                  <w:widowControl w:val="0"/>
                  <w:spacing w:before="0" w:after="0" w:line="252" w:lineRule="auto"/>
                  <w:ind w:left="92" w:right="585"/>
                  <w:jc w:val="center"/>
                  <w:rPr>
                    <w:rFonts w:ascii="Times New Roman" w:eastAsia="Times New Roman" w:hAnsi="Times New Roman" w:cs="Times New Roman"/>
                    <w:b/>
                    <w:sz w:val="26"/>
                    <w:szCs w:val="26"/>
                  </w:rPr>
                </w:pPr>
                <w:bookmarkStart w:id="4" w:name="_heading=h.how6di7i9bq9" w:colFirst="0" w:colLast="0"/>
                <w:bookmarkEnd w:id="4"/>
                <w:r>
                  <w:rPr>
                    <w:rFonts w:ascii="Times New Roman" w:eastAsia="Times New Roman" w:hAnsi="Times New Roman" w:cs="Times New Roman"/>
                    <w:b/>
                    <w:noProof/>
                    <w:sz w:val="26"/>
                    <w:szCs w:val="26"/>
                    <w:lang w:val="es-CO"/>
                  </w:rPr>
                  <w:drawing>
                    <wp:inline distT="114300" distB="114300" distL="114300" distR="114300">
                      <wp:extent cx="2528888" cy="84581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28888" cy="845810"/>
                              </a:xfrm>
                              <a:prstGeom prst="rect">
                                <a:avLst/>
                              </a:prstGeom>
                              <a:ln/>
                            </pic:spPr>
                          </pic:pic>
                        </a:graphicData>
                      </a:graphic>
                    </wp:inline>
                  </w:drawing>
                </w:r>
              </w:p>
              <w:p w:rsidR="00363E40" w:rsidRDefault="002B256C">
                <w:pPr>
                  <w:pStyle w:val="Ttulo2"/>
                  <w:keepNext w:val="0"/>
                  <w:keepLines w:val="0"/>
                  <w:widowControl w:val="0"/>
                  <w:spacing w:before="0" w:after="0" w:line="252" w:lineRule="auto"/>
                  <w:ind w:left="92" w:right="585"/>
                  <w:jc w:val="center"/>
                  <w:rPr>
                    <w:rFonts w:ascii="Times New Roman" w:eastAsia="Times New Roman" w:hAnsi="Times New Roman" w:cs="Times New Roman"/>
                    <w:b/>
                    <w:sz w:val="26"/>
                    <w:szCs w:val="26"/>
                  </w:rPr>
                </w:pPr>
                <w:bookmarkStart w:id="5" w:name="_heading=h.xs6kxhvbg2r4" w:colFirst="0" w:colLast="0"/>
                <w:bookmarkEnd w:id="5"/>
                <w:r>
                  <w:rPr>
                    <w:rFonts w:ascii="Times New Roman" w:eastAsia="Times New Roman" w:hAnsi="Times New Roman" w:cs="Times New Roman"/>
                    <w:b/>
                    <w:sz w:val="26"/>
                    <w:szCs w:val="26"/>
                  </w:rPr>
                  <w:t>JULIÁN PEINADO RAMÍREZ</w:t>
                </w:r>
              </w:p>
              <w:p w:rsidR="00363E40" w:rsidRDefault="002B256C">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Representante a la Cámara por Antioquia</w:t>
                </w:r>
              </w:p>
              <w:p w:rsidR="00363E40" w:rsidRDefault="002B256C">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Partido Liberal</w:t>
                </w:r>
              </w:p>
              <w:p w:rsidR="00363E40" w:rsidRDefault="00363E40">
                <w:pPr>
                  <w:spacing w:line="240" w:lineRule="auto"/>
                  <w:rPr>
                    <w:sz w:val="26"/>
                    <w:szCs w:val="26"/>
                  </w:rPr>
                </w:pPr>
              </w:p>
            </w:tc>
            <w:tc>
              <w:tcPr>
                <w:tcW w:w="4680" w:type="dxa"/>
                <w:shd w:val="clear" w:color="auto" w:fill="auto"/>
                <w:tcMar>
                  <w:top w:w="100" w:type="dxa"/>
                  <w:left w:w="100" w:type="dxa"/>
                  <w:bottom w:w="100" w:type="dxa"/>
                  <w:right w:w="100" w:type="dxa"/>
                </w:tcMar>
              </w:tcPr>
              <w:p w:rsidR="00363E40" w:rsidRDefault="002B256C">
                <w:pPr>
                  <w:spacing w:line="240" w:lineRule="auto"/>
                  <w:jc w:val="center"/>
                </w:pPr>
                <w:r>
                  <w:rPr>
                    <w:noProof/>
                    <w:lang w:val="es-CO"/>
                  </w:rPr>
                  <w:drawing>
                    <wp:inline distT="114300" distB="114300" distL="114300" distR="114300">
                      <wp:extent cx="1662113" cy="1464737"/>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662113" cy="1464737"/>
                              </a:xfrm>
                              <a:prstGeom prst="rect">
                                <a:avLst/>
                              </a:prstGeom>
                              <a:ln/>
                            </pic:spPr>
                          </pic:pic>
                        </a:graphicData>
                      </a:graphic>
                    </wp:inline>
                  </w:drawing>
                </w:r>
              </w:p>
              <w:p w:rsidR="00363E40" w:rsidRDefault="002B256C">
                <w:pPr>
                  <w:pStyle w:val="Ttulo1"/>
                  <w:keepNext w:val="0"/>
                  <w:keepLines w:val="0"/>
                  <w:widowControl w:val="0"/>
                  <w:spacing w:before="0" w:after="0" w:line="252" w:lineRule="auto"/>
                  <w:ind w:left="99" w:right="58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JUAN PABLO GALLO MAYA</w:t>
                </w:r>
              </w:p>
              <w:p w:rsidR="00363E40" w:rsidRDefault="002B256C">
                <w:pPr>
                  <w:pStyle w:val="Ttulo2"/>
                  <w:keepNext w:val="0"/>
                  <w:keepLines w:val="0"/>
                  <w:widowControl w:val="0"/>
                  <w:spacing w:before="0" w:after="0" w:line="252" w:lineRule="auto"/>
                  <w:ind w:left="92" w:right="585"/>
                  <w:jc w:val="center"/>
                  <w:rPr>
                    <w:rFonts w:ascii="Times New Roman" w:eastAsia="Times New Roman" w:hAnsi="Times New Roman" w:cs="Times New Roman"/>
                    <w:sz w:val="26"/>
                    <w:szCs w:val="26"/>
                  </w:rPr>
                </w:pPr>
                <w:bookmarkStart w:id="6" w:name="_heading=h.gis1mxxzia20" w:colFirst="0" w:colLast="0"/>
                <w:bookmarkEnd w:id="6"/>
                <w:r>
                  <w:rPr>
                    <w:rFonts w:ascii="Times New Roman" w:eastAsia="Times New Roman" w:hAnsi="Times New Roman" w:cs="Times New Roman"/>
                    <w:sz w:val="26"/>
                    <w:szCs w:val="26"/>
                  </w:rPr>
                  <w:t>Senador de la República</w:t>
                </w:r>
                <w:r>
                  <w:rPr>
                    <w:rFonts w:ascii="Times New Roman" w:eastAsia="Times New Roman" w:hAnsi="Times New Roman" w:cs="Times New Roman"/>
                    <w:sz w:val="26"/>
                    <w:szCs w:val="26"/>
                  </w:rPr>
                  <w:br/>
                  <w:t>Partido Liberal</w:t>
                </w:r>
              </w:p>
            </w:tc>
          </w:tr>
        </w:tbl>
      </w:sdtContent>
    </w:sdt>
    <w:p w:rsidR="00363E40" w:rsidRDefault="00363E40">
      <w:pPr>
        <w:jc w:val="both"/>
        <w:rPr>
          <w:rFonts w:ascii="Times New Roman" w:eastAsia="Times New Roman" w:hAnsi="Times New Roman" w:cs="Times New Roman"/>
          <w:b/>
          <w:sz w:val="28"/>
          <w:szCs w:val="28"/>
        </w:rPr>
      </w:pPr>
    </w:p>
    <w:sectPr w:rsidR="00363E4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56C" w:rsidRDefault="002B256C">
      <w:pPr>
        <w:spacing w:line="240" w:lineRule="auto"/>
      </w:pPr>
      <w:r>
        <w:separator/>
      </w:r>
    </w:p>
  </w:endnote>
  <w:endnote w:type="continuationSeparator" w:id="0">
    <w:p w:rsidR="002B256C" w:rsidRDefault="002B2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40" w:rsidRDefault="002B256C">
    <w:pPr>
      <w:jc w:val="center"/>
      <w:rPr>
        <w:b/>
        <w:i/>
        <w:sz w:val="18"/>
        <w:szCs w:val="18"/>
      </w:rPr>
    </w:pPr>
    <w:r>
      <w:rPr>
        <w:rFonts w:ascii="Times New Roman" w:eastAsia="Times New Roman" w:hAnsi="Times New Roman" w:cs="Times New Roman"/>
        <w:b/>
        <w:i/>
      </w:rPr>
      <w:t xml:space="preserve">Informe de conciliación del Proyecto de Ley Nº 018 de 2022, Cámara-313 de 2023, </w:t>
    </w:r>
    <w:proofErr w:type="spellStart"/>
    <w:proofErr w:type="gramStart"/>
    <w:r>
      <w:rPr>
        <w:rFonts w:ascii="Times New Roman" w:eastAsia="Times New Roman" w:hAnsi="Times New Roman" w:cs="Times New Roman"/>
        <w:b/>
        <w:i/>
      </w:rPr>
      <w:t>Senado“</w:t>
    </w:r>
    <w:proofErr w:type="gramEnd"/>
    <w:r>
      <w:rPr>
        <w:rFonts w:ascii="Times New Roman" w:eastAsia="Times New Roman" w:hAnsi="Times New Roman" w:cs="Times New Roman"/>
        <w:b/>
        <w:i/>
      </w:rPr>
      <w:t>Por</w:t>
    </w:r>
    <w:proofErr w:type="spellEnd"/>
    <w:r>
      <w:rPr>
        <w:rFonts w:ascii="Times New Roman" w:eastAsia="Times New Roman" w:hAnsi="Times New Roman" w:cs="Times New Roman"/>
        <w:b/>
        <w:i/>
      </w:rPr>
      <w:t xml:space="preserve"> medio de la cual se armoniza la normatividad vigente en materia tributaria respecto a las familias con hijos dependientes o en condición de discapacidad”.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56C" w:rsidRDefault="002B256C">
      <w:pPr>
        <w:spacing w:line="240" w:lineRule="auto"/>
      </w:pPr>
      <w:r>
        <w:separator/>
      </w:r>
    </w:p>
  </w:footnote>
  <w:footnote w:type="continuationSeparator" w:id="0">
    <w:p w:rsidR="002B256C" w:rsidRDefault="002B25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40" w:rsidRDefault="002B256C">
    <w:pPr>
      <w:tabs>
        <w:tab w:val="center" w:pos="4252"/>
        <w:tab w:val="right" w:pos="8504"/>
      </w:tabs>
      <w:spacing w:line="240" w:lineRule="auto"/>
      <w:jc w:val="center"/>
    </w:pPr>
    <w:r>
      <w:rPr>
        <w:noProof/>
        <w:lang w:val="es-CO"/>
      </w:rPr>
      <w:drawing>
        <wp:anchor distT="0" distB="0" distL="0" distR="0" simplePos="0" relativeHeight="251658240" behindDoc="0" locked="0" layoutInCell="1" hidden="0" allowOverlap="1">
          <wp:simplePos x="0" y="0"/>
          <wp:positionH relativeFrom="margin">
            <wp:posOffset>57150</wp:posOffset>
          </wp:positionH>
          <wp:positionV relativeFrom="margin">
            <wp:posOffset>-895345</wp:posOffset>
          </wp:positionV>
          <wp:extent cx="2319338" cy="642382"/>
          <wp:effectExtent l="0" t="0" r="0" b="0"/>
          <wp:wrapTopAndBottom distT="0" dist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3333" r="-1329"/>
                  <a:stretch>
                    <a:fillRect/>
                  </a:stretch>
                </pic:blipFill>
                <pic:spPr>
                  <a:xfrm>
                    <a:off x="0" y="0"/>
                    <a:ext cx="2319338" cy="64238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940"/>
    <w:multiLevelType w:val="multilevel"/>
    <w:tmpl w:val="7A78B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E327CF"/>
    <w:multiLevelType w:val="multilevel"/>
    <w:tmpl w:val="C10EA712"/>
    <w:lvl w:ilvl="0">
      <w:start w:val="2"/>
      <w:numFmt w:val="decimal"/>
      <w:lvlText w:val="%1."/>
      <w:lvlJc w:val="left"/>
      <w:pPr>
        <w:ind w:left="218" w:hanging="271"/>
      </w:pPr>
      <w:rPr>
        <w:rFonts w:ascii="Calibri" w:eastAsia="Calibri" w:hAnsi="Calibri" w:cs="Calibri"/>
        <w:b w:val="0"/>
        <w:i w:val="0"/>
        <w:sz w:val="24"/>
        <w:szCs w:val="24"/>
      </w:rPr>
    </w:lvl>
    <w:lvl w:ilvl="1">
      <w:numFmt w:val="bullet"/>
      <w:lvlText w:val="•"/>
      <w:lvlJc w:val="left"/>
      <w:pPr>
        <w:ind w:left="1170" w:hanging="271"/>
      </w:pPr>
    </w:lvl>
    <w:lvl w:ilvl="2">
      <w:numFmt w:val="bullet"/>
      <w:lvlText w:val="•"/>
      <w:lvlJc w:val="left"/>
      <w:pPr>
        <w:ind w:left="2120" w:hanging="271"/>
      </w:pPr>
    </w:lvl>
    <w:lvl w:ilvl="3">
      <w:numFmt w:val="bullet"/>
      <w:lvlText w:val="•"/>
      <w:lvlJc w:val="left"/>
      <w:pPr>
        <w:ind w:left="3070" w:hanging="271"/>
      </w:pPr>
    </w:lvl>
    <w:lvl w:ilvl="4">
      <w:numFmt w:val="bullet"/>
      <w:lvlText w:val="•"/>
      <w:lvlJc w:val="left"/>
      <w:pPr>
        <w:ind w:left="4020" w:hanging="271"/>
      </w:pPr>
    </w:lvl>
    <w:lvl w:ilvl="5">
      <w:numFmt w:val="bullet"/>
      <w:lvlText w:val="•"/>
      <w:lvlJc w:val="left"/>
      <w:pPr>
        <w:ind w:left="4970" w:hanging="271"/>
      </w:pPr>
    </w:lvl>
    <w:lvl w:ilvl="6">
      <w:numFmt w:val="bullet"/>
      <w:lvlText w:val="•"/>
      <w:lvlJc w:val="left"/>
      <w:pPr>
        <w:ind w:left="5920" w:hanging="271"/>
      </w:pPr>
    </w:lvl>
    <w:lvl w:ilvl="7">
      <w:numFmt w:val="bullet"/>
      <w:lvlText w:val="•"/>
      <w:lvlJc w:val="left"/>
      <w:pPr>
        <w:ind w:left="6870" w:hanging="271"/>
      </w:pPr>
    </w:lvl>
    <w:lvl w:ilvl="8">
      <w:numFmt w:val="bullet"/>
      <w:lvlText w:val="•"/>
      <w:lvlJc w:val="left"/>
      <w:pPr>
        <w:ind w:left="7820" w:hanging="27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40"/>
    <w:rsid w:val="002B256C"/>
    <w:rsid w:val="00363E40"/>
    <w:rsid w:val="00522D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04D56-9EC1-4800-BB7A-34F67213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5"/>
    <w:tblPr>
      <w:tblStyleRowBandSize w:val="1"/>
      <w:tblStyleColBandSize w:val="1"/>
      <w:tblCellMar>
        <w:left w:w="108" w:type="dxa"/>
        <w:right w:w="108" w:type="dxa"/>
      </w:tblCellMar>
    </w:tbl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semiHidden/>
    <w:unhideWhenUsed/>
    <w:pPr>
      <w:spacing w:line="240" w:lineRule="auto"/>
    </w:pPr>
    <w:rPr>
      <w:sz w:val="20"/>
      <w:szCs w:val="20"/>
    </w:rPr>
  </w:style>
  <w:style w:type="character" w:customStyle="1" w:styleId="TextocomentarioCar">
    <w:name w:val="Texto comentario Car"/>
    <w:basedOn w:val="Fuentedeprrafopredeter"/>
    <w:uiPriority w:val="99"/>
    <w:semiHidden/>
    <w:rsid w:val="00157CD3"/>
    <w:rPr>
      <w:sz w:val="20"/>
      <w:szCs w:val="20"/>
      <w:lang w:val="es-ES"/>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157CD3"/>
    <w:rPr>
      <w:b/>
      <w:bCs/>
      <w:sz w:val="20"/>
      <w:szCs w:val="20"/>
      <w:lang w:val="es-ES"/>
    </w:rPr>
  </w:style>
  <w:style w:type="paragraph" w:styleId="Textodeglobo">
    <w:name w:val="Balloon Text"/>
    <w:basedOn w:val="Normal"/>
    <w:link w:val="TextodegloboCar"/>
    <w:uiPriority w:val="99"/>
    <w:semiHidden/>
    <w:unhideWhenUsed/>
    <w:rsid w:val="00157CD3"/>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57CD3"/>
    <w:rPr>
      <w:rFonts w:ascii="Times New Roman" w:hAnsi="Times New Roman" w:cs="Times New Roman"/>
      <w:sz w:val="18"/>
      <w:szCs w:val="18"/>
      <w:lang w:val="es-ES"/>
    </w:rPr>
  </w:style>
  <w:style w:type="paragraph" w:styleId="Prrafodelista">
    <w:name w:val="List Paragraph"/>
    <w:basedOn w:val="Normal"/>
    <w:uiPriority w:val="34"/>
    <w:qFormat/>
    <w:rsid w:val="003B7C2E"/>
    <w:pPr>
      <w:ind w:left="720"/>
      <w:contextualSpacing/>
    </w:p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left w:w="108" w:type="dxa"/>
        <w:right w:w="108" w:type="dxa"/>
      </w:tblCellMar>
    </w:tbl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table" w:customStyle="1" w:styleId="a2">
    <w:basedOn w:val="TableNormal5"/>
    <w:tblPr>
      <w:tblStyleRowBandSize w:val="1"/>
      <w:tblStyleColBandSize w:val="1"/>
      <w:tblCellMar>
        <w:left w:w="108" w:type="dxa"/>
        <w:right w:w="108" w:type="dxa"/>
      </w:tblCellMar>
    </w:tblPr>
  </w:style>
  <w:style w:type="table" w:customStyle="1" w:styleId="a3">
    <w:basedOn w:val="TableNormal5"/>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yKgb8JXZADW3SDcs+dDWzC/fpA==">CgMxLjAaHwoBMBIaChgICVIUChJ0YWJsZS5mYWVyeW85dmg4bWMyDmguOXlpaHE4cHAyNGszMg5oLjhmbHhvOGFhOGs5MTIOaC5wenI4eGF6OXd4ODAyDmguaG93NmRpN2k5YnE5Mg5oLnhzNmt4aHZiZzJyNDIOaC5naXMxbXh4emlhMjA4AHIhMXZpSHdJMmJnel9DRWhJLUduR21lbUtVcVlRWEdwRUgx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 Fabian Castillo Rojas</cp:lastModifiedBy>
  <cp:revision>2</cp:revision>
  <dcterms:created xsi:type="dcterms:W3CDTF">2024-06-18T19:08:00Z</dcterms:created>
  <dcterms:modified xsi:type="dcterms:W3CDTF">2024-06-18T19:08:00Z</dcterms:modified>
</cp:coreProperties>
</file>